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D9" w:rsidRPr="00E91CD9" w:rsidRDefault="00E91CD9" w:rsidP="00E91CD9">
      <w:pPr>
        <w:pStyle w:val="Prrafodelista"/>
        <w:ind w:left="0"/>
        <w:jc w:val="center"/>
        <w:rPr>
          <w:rFonts w:ascii="Arial" w:hAnsi="Arial" w:cs="Arial"/>
          <w:b/>
        </w:rPr>
      </w:pPr>
      <w:r w:rsidRPr="00E91CD9">
        <w:rPr>
          <w:rFonts w:ascii="Arial" w:eastAsia="Times New Roman" w:hAnsi="Arial" w:cs="Arial"/>
          <w:b/>
          <w:caps/>
          <w:lang w:val="es-ES" w:eastAsia="es-ES"/>
        </w:rPr>
        <w:t>Reglamento de Recepción, Estacionamiento y Guarda de Vehículos en Edificio</w:t>
      </w:r>
      <w:r w:rsidRPr="00E91CD9">
        <w:rPr>
          <w:rFonts w:ascii="Arial" w:eastAsia="Times New Roman" w:hAnsi="Arial" w:cs="Arial"/>
          <w:b/>
          <w:caps/>
          <w:lang w:val="es-ES" w:eastAsia="es-ES"/>
        </w:rPr>
        <w:t>s o Locales Públicos o Privados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1"/>
        <w:gridCol w:w="4417"/>
      </w:tblGrid>
      <w:tr w:rsidR="00E91CD9" w:rsidRPr="00E91CD9" w:rsidTr="00DC022B">
        <w:tc>
          <w:tcPr>
            <w:tcW w:w="4489" w:type="dxa"/>
          </w:tcPr>
          <w:p w:rsidR="00E91CD9" w:rsidRPr="00E91CD9" w:rsidRDefault="00E91CD9" w:rsidP="00DC02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9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489" w:type="dxa"/>
          </w:tcPr>
          <w:p w:rsidR="00E91CD9" w:rsidRPr="00E91CD9" w:rsidRDefault="00E91CD9" w:rsidP="00DC022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91CD9">
              <w:rPr>
                <w:rFonts w:ascii="Arial" w:hAnsi="Arial" w:cs="Arial"/>
                <w:b/>
                <w:sz w:val="22"/>
                <w:szCs w:val="22"/>
              </w:rPr>
              <w:t>DEBE DECIR</w:t>
            </w:r>
          </w:p>
        </w:tc>
      </w:tr>
      <w:tr w:rsidR="00E91CD9" w:rsidRPr="00E91CD9" w:rsidTr="00DC022B">
        <w:trPr>
          <w:trHeight w:val="3540"/>
        </w:trPr>
        <w:tc>
          <w:tcPr>
            <w:tcW w:w="4489" w:type="dxa"/>
          </w:tcPr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  <w:b/>
              </w:rPr>
            </w:pPr>
            <w:r w:rsidRPr="00E91CD9">
              <w:rPr>
                <w:rFonts w:ascii="Arial" w:hAnsi="Arial" w:cs="Arial"/>
              </w:rPr>
              <w:t>Artículo 6</w:t>
            </w:r>
            <w:r>
              <w:rPr>
                <w:rFonts w:ascii="Arial" w:hAnsi="Arial" w:cs="Arial"/>
              </w:rPr>
              <w:t>.</w:t>
            </w:r>
            <w:r w:rsidRPr="00E91C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91CD9">
              <w:rPr>
                <w:rFonts w:ascii="Arial" w:hAnsi="Arial" w:cs="Arial"/>
              </w:rPr>
              <w:t>Se consideran estacionamientos particulares, los creados y mantenidos por particulares sin fines de lucro, en terrenos, edificios y construcciones utilizadas como centros de reunión social, comercial, industrial, etc., y que en áreas parciales de los mismos se realiza la guarda, recepción y entrega de vehículos pues la mayor parte del área se destina a una actividad principal distinta del servicio de estacionamiento, y que obedece su existencia a lo preceptuado por los Artículos 2º. Fracción III inciso b), 4º</w:t>
            </w:r>
            <w:proofErr w:type="gramStart"/>
            <w:r w:rsidRPr="00E91CD9">
              <w:rPr>
                <w:rFonts w:ascii="Arial" w:hAnsi="Arial" w:cs="Arial"/>
              </w:rPr>
              <w:t>.,</w:t>
            </w:r>
            <w:proofErr w:type="gramEnd"/>
            <w:r w:rsidRPr="00E91CD9">
              <w:rPr>
                <w:rFonts w:ascii="Arial" w:hAnsi="Arial" w:cs="Arial"/>
              </w:rPr>
              <w:t xml:space="preserve"> 22, Fracción II inciso g), 76 y demás relativos de la</w:t>
            </w:r>
            <w:r w:rsidRPr="00E91CD9">
              <w:rPr>
                <w:rFonts w:ascii="Arial" w:hAnsi="Arial" w:cs="Arial"/>
                <w:b/>
              </w:rPr>
              <w:t xml:space="preserve"> </w:t>
            </w:r>
            <w:r w:rsidRPr="00E91CD9">
              <w:rPr>
                <w:rFonts w:ascii="Arial" w:hAnsi="Arial" w:cs="Arial"/>
              </w:rPr>
              <w:t>Ley de Urbanismo y Planificación para el Estado de Nuevo León.</w:t>
            </w:r>
          </w:p>
          <w:p w:rsidR="00E91CD9" w:rsidRPr="00E91CD9" w:rsidRDefault="00E91CD9" w:rsidP="00DC0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CD9" w:rsidRPr="00E91CD9" w:rsidRDefault="00E91CD9" w:rsidP="00DC0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CD9" w:rsidRPr="00E91CD9" w:rsidRDefault="00E91CD9" w:rsidP="00DC0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27. La inspección de los estacionamientos de servicio público o privado, a fin de supervisar las instalaciones y condiciones de funcionamiento estará a cargo de las Direcciones de Tránsito y Transporte y Obras Públicas del Municipio, con personal comisionado para tal fin. Estas inspecciones se harán mensualmente.</w:t>
            </w:r>
          </w:p>
          <w:p w:rsidR="00E91CD9" w:rsidRPr="00E91CD9" w:rsidRDefault="00E91CD9" w:rsidP="00DC022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31. Las sanciones a imponer por infracciones al presente Reglamento son: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I. Multa, en los términos de la Disposición General emitida por el R. Ayuntamiento de Monterrey, N. L;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II. a III. ...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 xml:space="preserve">Artículo 33. La negativa o rebeldía continuada del infractor a la observancia del presente Reglamento, se calificará de </w:t>
            </w:r>
            <w:r w:rsidRPr="00E91CD9">
              <w:rPr>
                <w:rFonts w:ascii="Arial" w:hAnsi="Arial" w:cs="Arial"/>
              </w:rPr>
              <w:lastRenderedPageBreak/>
              <w:t>reincidencia, y en consecuencia se le impondrá multa en los términos de la Disposición General emitida por el</w:t>
            </w:r>
            <w:r w:rsidRPr="00E91CD9">
              <w:rPr>
                <w:rFonts w:ascii="Arial" w:hAnsi="Arial" w:cs="Arial"/>
                <w:b/>
              </w:rPr>
              <w:t xml:space="preserve"> </w:t>
            </w:r>
            <w:r w:rsidRPr="00E91CD9">
              <w:rPr>
                <w:rFonts w:ascii="Arial" w:hAnsi="Arial" w:cs="Arial"/>
              </w:rPr>
              <w:t>R. Ayuntamiento de Monterrey, N. L., o bien, la suspensión definitiva del permiso si ya se le hubiere impuesto antes la suspensión temporal como sanción.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lastRenderedPageBreak/>
              <w:t>Artículo 6</w:t>
            </w:r>
            <w:r>
              <w:rPr>
                <w:rFonts w:ascii="Arial" w:hAnsi="Arial" w:cs="Arial"/>
              </w:rPr>
              <w:t>.</w:t>
            </w:r>
            <w:r w:rsidRPr="00E91CD9">
              <w:rPr>
                <w:rFonts w:ascii="Arial" w:hAnsi="Arial" w:cs="Arial"/>
              </w:rPr>
              <w:t xml:space="preserve"> Se consideran estacionamientos particulares, los creados y mantenidos por particulares sin fines de lucro, en terrenos, edificios y construcciones utilizadas como centros de reunión social, comercial, industrial, etc., y que en áreas parciales de los mismos se realiza la guarda, recepción y entrega de vehículos pues la mayor parte del área se destina a una actividad principal distinta del servicio de estacionamiento.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27. La inspección de los estacionamientos de servicio público o privado, a fin de supervisar las instalaciones y condiciones de funcionamiento estará a cargo de la Dirección de Tránsito y la Secretaría de Obras Públicas del Municipio, con personal comisionado para tal fin. Estas inspecciones se harán mensualmente.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31. Las sanciones a imponer por infracciones al presente Reglamento son: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I. Multa, en los términos de la Disposición General emitida por el Ayuntamiento;</w:t>
            </w: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II. a III. ...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ind w:left="33"/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 xml:space="preserve">Artículo 33. La negativa o rebeldía continuada del infractor a la observancia del presente Reglamento, se calificará de reincidencia, y en consecuencia se le </w:t>
            </w:r>
            <w:r w:rsidRPr="00E91CD9">
              <w:rPr>
                <w:rFonts w:ascii="Arial" w:hAnsi="Arial" w:cs="Arial"/>
              </w:rPr>
              <w:lastRenderedPageBreak/>
              <w:t>impondrá multa en los términos de la Disposición General emitida por el  Ayuntamiento, o bien, la suspensión definitiva del permiso si ya se le hubiere impuesto antes la suspensión temporal como sanción.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CAPÍTULO OCTAVO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DEL RECURSO ÚNICO DE INCONFORMIDAD.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 xml:space="preserve">Artículo 41. El Procedimiento Administrativo </w:t>
            </w:r>
            <w:r>
              <w:rPr>
                <w:rFonts w:ascii="Arial" w:hAnsi="Arial" w:cs="Arial"/>
              </w:rPr>
              <w:t>Ú</w:t>
            </w:r>
            <w:r w:rsidRPr="00E91CD9">
              <w:rPr>
                <w:rFonts w:ascii="Arial" w:hAnsi="Arial" w:cs="Arial"/>
              </w:rPr>
              <w:t xml:space="preserve">nico de </w:t>
            </w:r>
            <w:r>
              <w:rPr>
                <w:rFonts w:ascii="Arial" w:hAnsi="Arial" w:cs="Arial"/>
              </w:rPr>
              <w:t>R</w:t>
            </w:r>
            <w:r w:rsidRPr="00E91CD9">
              <w:rPr>
                <w:rFonts w:ascii="Arial" w:hAnsi="Arial" w:cs="Arial"/>
              </w:rPr>
              <w:t xml:space="preserve">ecurso de </w:t>
            </w:r>
            <w:r>
              <w:rPr>
                <w:rFonts w:ascii="Arial" w:hAnsi="Arial" w:cs="Arial"/>
              </w:rPr>
              <w:t>I</w:t>
            </w:r>
            <w:r w:rsidRPr="00E91CD9">
              <w:rPr>
                <w:rFonts w:ascii="Arial" w:hAnsi="Arial" w:cs="Arial"/>
              </w:rPr>
              <w:t>nconformidad procederá en contra de los actos emitidos por las autoridades del municipio de Monterrey, con excepción de aquellos recursos cuyo procedimiento este regulado en la Legislación Estatal.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42. El recurso de inconformidad se tramitará conforme a las disposiciones del Reglamento que regula el Procedimiento Único de Inconformidad en el Municipio de Monterrey, y a falta de disposición expresa, se aplicará supletoriamente la Ley de Justicia Administrativa de Nuevo León o el derecho común.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CAPÍTULO NOVENO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DEL PROCEDIMIENTO DE REVISIÓN Y CONSULTA.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>Artículo 43. Para la revisión y co</w:t>
            </w:r>
            <w:r>
              <w:rPr>
                <w:rFonts w:ascii="Arial" w:hAnsi="Arial" w:cs="Arial"/>
              </w:rPr>
              <w:t xml:space="preserve">nsulta del presente Reglamento </w:t>
            </w:r>
            <w:r w:rsidRPr="00E91CD9">
              <w:rPr>
                <w:rFonts w:ascii="Arial" w:hAnsi="Arial" w:cs="Arial"/>
              </w:rPr>
              <w:t>la comunidad podrá hacer llegar sus opinio</w:t>
            </w:r>
            <w:r>
              <w:rPr>
                <w:rFonts w:ascii="Arial" w:hAnsi="Arial" w:cs="Arial"/>
              </w:rPr>
              <w:t>nes y observaciones por escrito</w:t>
            </w:r>
            <w:r w:rsidRPr="00E91CD9">
              <w:rPr>
                <w:rFonts w:ascii="Arial" w:hAnsi="Arial" w:cs="Arial"/>
              </w:rPr>
              <w:t xml:space="preserve"> a la Comisión de Gobern</w:t>
            </w:r>
            <w:r>
              <w:rPr>
                <w:rFonts w:ascii="Arial" w:hAnsi="Arial" w:cs="Arial"/>
              </w:rPr>
              <w:t>ación</w:t>
            </w:r>
            <w:bookmarkStart w:id="0" w:name="_GoBack"/>
            <w:bookmarkEnd w:id="0"/>
            <w:r w:rsidRPr="00E91CD9">
              <w:rPr>
                <w:rFonts w:ascii="Arial" w:hAnsi="Arial" w:cs="Arial"/>
              </w:rPr>
              <w:t xml:space="preserve">, Reglamentación y Mejora Regulatoria, quién recibirá y atenderá cualquier sugerencia que sea presentada por la ciudadanía. El </w:t>
            </w:r>
            <w:proofErr w:type="spellStart"/>
            <w:r w:rsidRPr="00E91CD9">
              <w:rPr>
                <w:rFonts w:ascii="Arial" w:hAnsi="Arial" w:cs="Arial"/>
              </w:rPr>
              <w:t>promovente</w:t>
            </w:r>
            <w:proofErr w:type="spellEnd"/>
            <w:r w:rsidRPr="00E91CD9">
              <w:rPr>
                <w:rFonts w:ascii="Arial" w:hAnsi="Arial" w:cs="Arial"/>
              </w:rPr>
              <w:t xml:space="preserve"> deberá argumentar en el escrito de referencia las razones que sustenten sus opiniones y observaciones con respecto al Reglamento Municipal.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  <w:r w:rsidRPr="00E91CD9">
              <w:rPr>
                <w:rFonts w:ascii="Arial" w:hAnsi="Arial" w:cs="Arial"/>
              </w:rPr>
              <w:t xml:space="preserve">Artículo 44. La Comisión deberá en un plazo no mayor a 60 días hábiles, analizar, </w:t>
            </w:r>
            <w:r w:rsidRPr="00E91CD9">
              <w:rPr>
                <w:rFonts w:ascii="Arial" w:hAnsi="Arial" w:cs="Arial"/>
              </w:rPr>
              <w:lastRenderedPageBreak/>
              <w:t xml:space="preserve">estudiar y dictaminar sobre las propuestas. En caso de resultar fundadas las propuestas planteadas, se hará del conocimiento del Ayuntamiento para su consideración. Se deberá informar al </w:t>
            </w:r>
            <w:proofErr w:type="spellStart"/>
            <w:r w:rsidRPr="00E91CD9">
              <w:rPr>
                <w:rFonts w:ascii="Arial" w:hAnsi="Arial" w:cs="Arial"/>
              </w:rPr>
              <w:t>promovente</w:t>
            </w:r>
            <w:proofErr w:type="spellEnd"/>
            <w:r w:rsidRPr="00E91CD9">
              <w:rPr>
                <w:rFonts w:ascii="Arial" w:hAnsi="Arial" w:cs="Arial"/>
              </w:rPr>
              <w:t xml:space="preserve"> la procedencia o improcedencia de sus propuestas.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Arial" w:hAnsi="Arial" w:cs="Arial"/>
              </w:rPr>
            </w:pPr>
          </w:p>
        </w:tc>
      </w:tr>
      <w:tr w:rsidR="00E91CD9" w:rsidRPr="00E91CD9" w:rsidTr="00DC022B">
        <w:trPr>
          <w:trHeight w:val="1217"/>
        </w:trPr>
        <w:tc>
          <w:tcPr>
            <w:tcW w:w="8978" w:type="dxa"/>
            <w:gridSpan w:val="2"/>
            <w:tcBorders>
              <w:bottom w:val="single" w:sz="4" w:space="0" w:color="auto"/>
            </w:tcBorders>
          </w:tcPr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  <w:r w:rsidRPr="00E91CD9">
              <w:rPr>
                <w:rFonts w:ascii="Arial" w:hAnsi="Arial" w:cs="Arial"/>
                <w:b/>
              </w:rPr>
              <w:t>TRANSITORIO</w:t>
            </w:r>
          </w:p>
          <w:p w:rsidR="00E91CD9" w:rsidRPr="00E91CD9" w:rsidRDefault="00E91CD9" w:rsidP="00DC022B">
            <w:pPr>
              <w:pStyle w:val="Poromisi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hAnsi="Arial" w:cs="Arial"/>
                <w:b/>
              </w:rPr>
            </w:pPr>
          </w:p>
          <w:p w:rsidR="00E91CD9" w:rsidRPr="00E91CD9" w:rsidRDefault="00E91CD9" w:rsidP="00DC022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91CD9">
              <w:rPr>
                <w:rFonts w:ascii="Arial" w:hAnsi="Arial" w:cs="Arial"/>
                <w:sz w:val="22"/>
                <w:szCs w:val="22"/>
              </w:rPr>
              <w:t>ÚNICO. Las presentes reformas entrarán en vigor a partir de su publicación en el Periódico Oficial del Estado.</w:t>
            </w:r>
          </w:p>
        </w:tc>
      </w:tr>
    </w:tbl>
    <w:p w:rsidR="00F6398A" w:rsidRPr="00E91CD9" w:rsidRDefault="00F6398A">
      <w:pPr>
        <w:rPr>
          <w:rFonts w:ascii="Arial" w:hAnsi="Arial" w:cs="Arial"/>
          <w:sz w:val="22"/>
          <w:szCs w:val="22"/>
        </w:rPr>
      </w:pPr>
    </w:p>
    <w:sectPr w:rsidR="00F6398A" w:rsidRPr="00E91CD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CD9"/>
    <w:rsid w:val="00E91CD9"/>
    <w:rsid w:val="00F6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236D93-B809-4E0E-BE18-D371C3EB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91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E91CD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paragraph" w:customStyle="1" w:styleId="Poromisin">
    <w:name w:val="Por omisión"/>
    <w:rsid w:val="00E91C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708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Edmundo Trujillo Enriquez</dc:creator>
  <cp:keywords/>
  <dc:description/>
  <cp:lastModifiedBy>Hugo Edmundo Trujillo Enriquez</cp:lastModifiedBy>
  <cp:revision>1</cp:revision>
  <dcterms:created xsi:type="dcterms:W3CDTF">2016-02-15T17:04:00Z</dcterms:created>
  <dcterms:modified xsi:type="dcterms:W3CDTF">2016-02-15T17:08:00Z</dcterms:modified>
</cp:coreProperties>
</file>